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EDITAL CHAMAMENTO PÚBLICO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0</w:t>
      </w:r>
      <w:r w:rsidDel="00000000" w:rsidR="00000000" w:rsidRPr="00000000">
        <w:rPr>
          <w:b w:val="1"/>
          <w:sz w:val="24"/>
          <w:szCs w:val="24"/>
          <w:rtl w:val="0"/>
        </w:rPr>
        <w:t xml:space="preserve">4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/2024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RE</w:t>
      </w:r>
      <w:r w:rsidDel="00000000" w:rsidR="00000000" w:rsidRPr="00000000">
        <w:rPr>
          <w:rFonts w:ascii="Calibri" w:cs="Calibri" w:eastAsia="Calibri" w:hAnsi="Calibri"/>
          <w:sz w:val="24"/>
          <w:szCs w:val="24"/>
          <w:u w:val="none"/>
          <w:rtl w:val="0"/>
        </w:rPr>
        <w:t xml:space="preserve">DE MUNICIPAL DE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PONTOS DE CULTURA DE LIMEIRA/SP</w:t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after="0" w:line="276" w:lineRule="auto"/>
        <w:ind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after="0" w:line="276" w:lineRule="auto"/>
        <w:ind w:firstLine="0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CULTURA VIVA DO TAMANHO DO BRASIL!</w:t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after="0" w:line="276" w:lineRule="auto"/>
        <w:ind w:firstLine="0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FOMENTO A PROJETOS CONTINUADOS DE PONTOS DE CULTURA</w:t>
      </w:r>
    </w:p>
    <w:p w:rsidR="00000000" w:rsidDel="00000000" w:rsidP="00000000" w:rsidRDefault="00000000" w:rsidRPr="00000000" w14:paraId="00000006">
      <w:pPr>
        <w:shd w:fill="ffffff" w:val="clear"/>
        <w:spacing w:after="0" w:line="240" w:lineRule="auto"/>
        <w:ind w:firstLine="0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center" w:leader="none" w:pos="0"/>
        </w:tabs>
        <w:spacing w:after="120" w:before="120" w:line="240" w:lineRule="auto"/>
        <w:ind w:firstLine="0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ANEXO 10 - MINUTA DE TERMO DE COMPROMISSO CULTURAL - PONTO DE CULTURA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1"/>
        <w:spacing w:after="0" w:line="240" w:lineRule="auto"/>
        <w:ind w:left="0" w:firstLine="0"/>
        <w:jc w:val="center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i w:val="1"/>
          <w:sz w:val="20"/>
          <w:szCs w:val="20"/>
          <w:rtl w:val="0"/>
        </w:rPr>
        <w:t xml:space="preserve">(Rubricar todas as páginas)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120" w:before="120" w:line="240" w:lineRule="auto"/>
        <w:ind w:left="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120" w:before="120" w:line="240" w:lineRule="auto"/>
        <w:ind w:left="0" w:firstLine="0"/>
        <w:jc w:val="both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TERMO DE COMPROMISSO CULTURAL Nº </w:t>
      </w:r>
      <w:r w:rsidDel="00000000" w:rsidR="00000000" w:rsidRPr="00000000">
        <w:rPr>
          <w:b w:val="1"/>
          <w:sz w:val="24"/>
          <w:szCs w:val="24"/>
          <w:rtl w:val="0"/>
        </w:rPr>
        <w:t xml:space="preserve">04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/2023</w:t>
      </w:r>
    </w:p>
    <w:tbl>
      <w:tblPr>
        <w:tblStyle w:val="Table1"/>
        <w:tblW w:w="9972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9972"/>
        <w:tblGridChange w:id="0">
          <w:tblGrid>
            <w:gridCol w:w="9972"/>
          </w:tblGrid>
        </w:tblGridChange>
      </w:tblGrid>
      <w:tr>
        <w:trPr>
          <w:cantSplit w:val="0"/>
          <w:trHeight w:val="52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9d9d9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1.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      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FINALIDADE</w:t>
            </w:r>
          </w:p>
        </w:tc>
      </w:tr>
      <w:tr>
        <w:trPr>
          <w:cantSplit w:val="0"/>
          <w:trHeight w:val="163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spacing w:after="120" w:before="120" w:line="240" w:lineRule="auto"/>
              <w:ind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 Município de Limeira/SP, representado pela Secretaria Municipal de Cultura, e a ENTIDADE CULTURAL celebram o presente TERMO DE COMPROMISSO CULTURAL - TCC, com a finalidade de executar Projeto Cultural, nos termos do Plano de Trabalho anexo, para implementação da Política Nacional de Cultura Viva – PNCV, mediante as condições estipuladas em suas Cláusulas, nos termos da Lei nº 14.399, de 08 de julho de 2022 (PNAB), do Decreto nº 11.740, de 18 de outubro de 2023, e Portaria MinC nº 80, de 27 de outubro de 2023 (Regulamentam a PNAB), do Decreto nº 11.453, de 23 de março de 2023 (Decreto de Fomento), da Lei nº 13.018, de 22 de julho de 2014 (Lei Cultura Viva), da Instrução Normativa /MinC nº 08, de 11 de maio de 2016 (IN Cultura Viva).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D">
      <w:pPr>
        <w:spacing w:after="120" w:before="120" w:line="240" w:lineRule="auto"/>
        <w:ind w:left="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972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3130"/>
        <w:gridCol w:w="1849"/>
        <w:gridCol w:w="1507"/>
        <w:gridCol w:w="3486"/>
        <w:tblGridChange w:id="0">
          <w:tblGrid>
            <w:gridCol w:w="3130"/>
            <w:gridCol w:w="1849"/>
            <w:gridCol w:w="1507"/>
            <w:gridCol w:w="3486"/>
          </w:tblGrid>
        </w:tblGridChange>
      </w:tblGrid>
      <w:tr>
        <w:trPr>
          <w:cantSplit w:val="0"/>
          <w:trHeight w:val="525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2.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      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IDENTIFICAÇÃO DAS PARTES</w:t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9d9d9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2.1. ENTE PÚBLICO</w:t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9d9d9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Razão Social</w:t>
            </w:r>
          </w:p>
        </w:tc>
        <w:tc>
          <w:tcPr>
            <w:gridSpan w:val="3"/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8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9d9d9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CNPJ</w:t>
            </w:r>
          </w:p>
        </w:tc>
        <w:tc>
          <w:tcPr>
            <w:gridSpan w:val="3"/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9d9d9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Endereço completo</w:t>
            </w:r>
          </w:p>
        </w:tc>
        <w:tc>
          <w:tcPr>
            <w:gridSpan w:val="3"/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9d9d9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Nome do responsável legal</w:t>
            </w:r>
          </w:p>
        </w:tc>
        <w:tc>
          <w:tcPr>
            <w:gridSpan w:val="3"/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9d9d9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Cargo</w:t>
            </w:r>
          </w:p>
        </w:tc>
        <w:tc>
          <w:tcPr>
            <w:gridSpan w:val="3"/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9d9d9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Registro Geral (RG)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d9d9d9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CPF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shd w:fill="d9d9d9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Ato de nomeação</w:t>
            </w:r>
          </w:p>
        </w:tc>
        <w:tc>
          <w:tcPr>
            <w:gridSpan w:val="3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6" w:val="single"/>
            </w:tcBorders>
            <w:shd w:fill="ffffff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2.2. ENTIDADE CULTURAL</w:t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9d9d9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Razão Social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9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9d9d9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CNPJ</w:t>
            </w:r>
          </w:p>
        </w:tc>
        <w:tc>
          <w:tcPr>
            <w:gridSpan w:val="3"/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9d9d9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Endereço completo</w:t>
            </w:r>
          </w:p>
        </w:tc>
        <w:tc>
          <w:tcPr>
            <w:gridSpan w:val="3"/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9d9d9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Nome do responsável legal</w:t>
            </w:r>
          </w:p>
        </w:tc>
        <w:tc>
          <w:tcPr>
            <w:gridSpan w:val="3"/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9d9d9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Cargo</w:t>
            </w:r>
          </w:p>
        </w:tc>
        <w:tc>
          <w:tcPr>
            <w:gridSpan w:val="3"/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9d9d9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Registro Geral (RG)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d9d9d9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CPF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79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9d9d9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Endereço completo do responsável legal</w:t>
            </w:r>
          </w:p>
        </w:tc>
        <w:tc>
          <w:tcPr>
            <w:gridSpan w:val="3"/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54">
      <w:pPr>
        <w:spacing w:after="120" w:before="120" w:line="240" w:lineRule="auto"/>
        <w:ind w:left="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                                                 </w:t>
        <w:tab/>
      </w:r>
    </w:p>
    <w:tbl>
      <w:tblPr>
        <w:tblStyle w:val="Table3"/>
        <w:tblW w:w="9972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9972"/>
        <w:tblGridChange w:id="0">
          <w:tblGrid>
            <w:gridCol w:w="9972"/>
          </w:tblGrid>
        </w:tblGridChange>
      </w:tblGrid>
      <w:tr>
        <w:trPr>
          <w:cantSplit w:val="0"/>
          <w:trHeight w:val="52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9d9d9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3.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      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OBJETO</w:t>
            </w:r>
          </w:p>
        </w:tc>
      </w:tr>
      <w:tr>
        <w:trPr>
          <w:cantSplit w:val="0"/>
          <w:trHeight w:val="1080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ffffff" w:val="clear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3.1.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O presente Termo de Compromisso Cultural-TCC tem como objeto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a execução de projeto selecionado no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EDITAL CHAMAMENTO PÚBLICO 0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u w:val="none"/>
                <w:rtl w:val="0"/>
              </w:rPr>
              <w:t xml:space="preserve">/2024</w:t>
            </w:r>
            <w:r w:rsidDel="00000000" w:rsidR="00000000" w:rsidRPr="00000000">
              <w:rPr>
                <w:b w:val="1"/>
                <w:sz w:val="24"/>
                <w:szCs w:val="24"/>
                <w:u w:val="none"/>
                <w:rtl w:val="0"/>
              </w:rPr>
              <w:t xml:space="preserve"> - 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RE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u w:val="none"/>
                <w:rtl w:val="0"/>
              </w:rPr>
              <w:t xml:space="preserve">DE MUNICIPAL DE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PONTOS DE CULTURA DE LIMEIRA/SP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, </w:t>
            </w: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que visa a promoção do acesso da população aos bens e aos serviços culturais nos territórios e comunidades onde atuam, nos termos da Política Nacional de Cultura Viva - PNCV, conforme Plano de Trabalho anexo.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7">
      <w:pPr>
        <w:ind w:left="0" w:firstLine="0"/>
        <w:rPr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                                                 </w:t>
        <w:tab/>
        <w:t xml:space="preserve">                                                 </w:t>
        <w:tab/>
      </w:r>
      <w:r w:rsidDel="00000000" w:rsidR="00000000" w:rsidRPr="00000000">
        <w:rPr>
          <w:rtl w:val="0"/>
        </w:rPr>
      </w:r>
    </w:p>
    <w:tbl>
      <w:tblPr>
        <w:tblStyle w:val="Table4"/>
        <w:tblW w:w="9972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9972"/>
        <w:tblGridChange w:id="0">
          <w:tblGrid>
            <w:gridCol w:w="9972"/>
          </w:tblGrid>
        </w:tblGridChange>
      </w:tblGrid>
      <w:tr>
        <w:trPr>
          <w:cantSplit w:val="0"/>
          <w:trHeight w:val="52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shd w:fill="d9d9d9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4.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OBRIGAÇÕES DAS PARTES</w:t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shd w:fill="d9d9d9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.1.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 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Do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[NOME DO ESTADO/MUNICÍPIO]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Incumbe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à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Secretaria Municipal de Cultura 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observar as obrigações descritas na Instrução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legislação de regência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,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e 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as seguintes responsabilidades:</w:t>
            </w:r>
          </w:p>
          <w:p w:rsidR="00000000" w:rsidDel="00000000" w:rsidP="00000000" w:rsidRDefault="00000000" w:rsidRPr="00000000" w14:paraId="0000005B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I - coordenar a gestão da PNCV, no âmbito de sua esfera de atuação;</w:t>
            </w:r>
          </w:p>
          <w:p w:rsidR="00000000" w:rsidDel="00000000" w:rsidP="00000000" w:rsidRDefault="00000000" w:rsidRPr="00000000" w14:paraId="0000005C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II - atuar em parceria federativa junto ao governo federal, governos estaduais, do Distrito Federal e municipais, e outras instituições, para efetivação dos objetivos da PNCV previstos em lei;</w:t>
            </w:r>
          </w:p>
          <w:p w:rsidR="00000000" w:rsidDel="00000000" w:rsidP="00000000" w:rsidRDefault="00000000" w:rsidRPr="00000000" w14:paraId="0000005D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III - realizar planejamento de desenvolvimento da PNCV, observando o P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lano Nacional de Cultura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e planos de cultura locais;</w:t>
            </w:r>
          </w:p>
          <w:p w:rsidR="00000000" w:rsidDel="00000000" w:rsidP="00000000" w:rsidRDefault="00000000" w:rsidRPr="00000000" w14:paraId="0000005E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IV - garantir recursos humanos, orçamentários, financeiros, logísticos e tecnológicos para implementação da PNCV e efetividade de seus resultados;</w:t>
            </w:r>
          </w:p>
          <w:p w:rsidR="00000000" w:rsidDel="00000000" w:rsidP="00000000" w:rsidRDefault="00000000" w:rsidRPr="00000000" w14:paraId="0000005F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V -  desenvolver uma gestão pública compartilhada e participativa, por meio da organização e institucionalização das instâncias, fóruns e espaços de diálogos institucionais entre os partícipes da PNCV, em sua área de abrangência territorial;</w:t>
            </w:r>
          </w:p>
          <w:p w:rsidR="00000000" w:rsidDel="00000000" w:rsidP="00000000" w:rsidRDefault="00000000" w:rsidRPr="00000000" w14:paraId="00000060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VI - desenvolver as ações estruturantes da PNCV por meio de políticas públicas integradas visando a promoção em uma cultura de direitos humanos e de valorização da cidadania e da diversidade artística e cultural;</w:t>
            </w:r>
          </w:p>
          <w:p w:rsidR="00000000" w:rsidDel="00000000" w:rsidP="00000000" w:rsidRDefault="00000000" w:rsidRPr="00000000" w14:paraId="00000061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VII - disponibilizar e manter em funcionamento o Cadastro Nacional dos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Pontos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e Pontões de Cultura, no âmbito de sua esfera de atuação;</w:t>
            </w:r>
          </w:p>
          <w:p w:rsidR="00000000" w:rsidDel="00000000" w:rsidP="00000000" w:rsidRDefault="00000000" w:rsidRPr="00000000" w14:paraId="00000062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VIII - fomentar ações para qualificação e formação de gestores, dirigentes de entidades culturais e outros agentes envolvidos no âmbito da PNCV;</w:t>
            </w:r>
          </w:p>
          <w:p w:rsidR="00000000" w:rsidDel="00000000" w:rsidP="00000000" w:rsidRDefault="00000000" w:rsidRPr="00000000" w14:paraId="00000063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IX - dar ciência da celebração de parcerias federativas, no que couber, aos conselhos de cultura, assembleias legislativas e câmaras municipais de vereadores para efeitos de acompanhamento e fiscalização;</w:t>
            </w:r>
          </w:p>
          <w:p w:rsidR="00000000" w:rsidDel="00000000" w:rsidP="00000000" w:rsidRDefault="00000000" w:rsidRPr="00000000" w14:paraId="00000064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X - promover ações de publicidade da PNCV que proporcionem controle social, transparência pública e visibilidade das ações junto à sociedade;</w:t>
            </w:r>
          </w:p>
          <w:p w:rsidR="00000000" w:rsidDel="00000000" w:rsidP="00000000" w:rsidRDefault="00000000" w:rsidRPr="00000000" w14:paraId="00000065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XI - contribuir para o fortalecimento da atuação em redes territoriais, identitárias e temáticas no âmbito da PNCV;</w:t>
            </w:r>
          </w:p>
          <w:p w:rsidR="00000000" w:rsidDel="00000000" w:rsidP="00000000" w:rsidRDefault="00000000" w:rsidRPr="00000000" w14:paraId="00000066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XII - realizar os atos e os procedimentos relativos à formalização, execução, acompanhamento e análise da prestação de contas do presente TCC;</w:t>
            </w:r>
          </w:p>
          <w:p w:rsidR="00000000" w:rsidDel="00000000" w:rsidP="00000000" w:rsidRDefault="00000000" w:rsidRPr="00000000" w14:paraId="00000067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XIII - realizar os procedimentos relativos à Tomada de Contas Especial, quando for o caso;</w:t>
            </w:r>
          </w:p>
          <w:p w:rsidR="00000000" w:rsidDel="00000000" w:rsidP="00000000" w:rsidRDefault="00000000" w:rsidRPr="00000000" w14:paraId="00000068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XIV - cumprir com os procedimentos de transparência e publicidade atribuídos ao poder público conforme o disposto na Seção III da IN MinC nº 08 de 11 de maio de 2016;</w:t>
            </w:r>
          </w:p>
          <w:p w:rsidR="00000000" w:rsidDel="00000000" w:rsidP="00000000" w:rsidRDefault="00000000" w:rsidRPr="00000000" w14:paraId="00000069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XV - repassar os recursos financeiros ao PONT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O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DE CULTURA, de acordo com a programação orçamentária e financeira do ente público, obedecendo ao cronograma financeiro constante deste instrumento e do plano de trabalho;</w:t>
            </w:r>
          </w:p>
          <w:p w:rsidR="00000000" w:rsidDel="00000000" w:rsidP="00000000" w:rsidRDefault="00000000" w:rsidRPr="00000000" w14:paraId="0000006A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XVI - prorrogar “de ofício” o prazo de vigência do TCC antes do seu término, quando der causa ao atraso na liberação dos recursos, limitada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à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prorrogação ao exato período do atraso verificado;</w:t>
            </w:r>
          </w:p>
          <w:p w:rsidR="00000000" w:rsidDel="00000000" w:rsidP="00000000" w:rsidRDefault="00000000" w:rsidRPr="00000000" w14:paraId="0000006B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XVII - aplicar as penalidades previstas e proceder às ações administrativas necessárias à exigência da restituição dos recursos transferidos;</w:t>
            </w:r>
          </w:p>
          <w:p w:rsidR="00000000" w:rsidDel="00000000" w:rsidP="00000000" w:rsidRDefault="00000000" w:rsidRPr="00000000" w14:paraId="0000006C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XVIII - comunicar aos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Pontos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e Pontões de Cultura a identificação de quaisquer irregularidades decorrentes do uso dos recursos ou pendências de ordem técnica, podendo suspender a liberação de recursos e fixar prazo de trinta dias para saneamento ou apresentação de justificativa com informações e esclarecimentos, prorrogável uma única vez por igual período.</w:t>
            </w:r>
          </w:p>
          <w:p w:rsidR="00000000" w:rsidDel="00000000" w:rsidP="00000000" w:rsidRDefault="00000000" w:rsidRPr="00000000" w14:paraId="0000006D">
            <w:pPr>
              <w:spacing w:after="120" w:before="120" w:line="240" w:lineRule="auto"/>
              <w:ind w:lef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XIX - analisar a prestação de contas dos recursos aplicados na consecução do objeto deste TCC, na forma e prazo fixados no Dec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reto nº 11.453/2023 e no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art. 47 da IN MinC nº 08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/2016;</w:t>
            </w:r>
          </w:p>
          <w:p w:rsidR="00000000" w:rsidDel="00000000" w:rsidP="00000000" w:rsidRDefault="00000000" w:rsidRPr="00000000" w14:paraId="0000006E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XX - nos casos em que o PONT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O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DE CULTURA não apresentar o Relatório de Execução do Objeto ou o Relatório de Execução Financeira nos prazos devidos, enviar notificação exigindo que o faça no prazo máximo de trinta dias, sob pena de rejeição das contas e exigência de devolução integral dos recursos, com atualização monetária e juros;</w:t>
            </w:r>
          </w:p>
          <w:p w:rsidR="00000000" w:rsidDel="00000000" w:rsidP="00000000" w:rsidRDefault="00000000" w:rsidRPr="00000000" w14:paraId="0000006F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XXI - exercer, se conveniente e oportuno, a prerrogativa de assumir ou de transferir a responsabilidade pela execução do objeto, no caso de paralisação ou da ocorrência de fato relevante, de modo a evitar sua descontinuidade.</w:t>
            </w:r>
          </w:p>
          <w:p w:rsidR="00000000" w:rsidDel="00000000" w:rsidP="00000000" w:rsidRDefault="00000000" w:rsidRPr="00000000" w14:paraId="00000070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shd w:fill="d9d9d9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.2.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 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Da Entidade Cultural</w:t>
            </w:r>
          </w:p>
        </w:tc>
      </w:tr>
      <w:tr>
        <w:trPr>
          <w:cantSplit w:val="0"/>
          <w:trHeight w:val="226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Incumbe à Entidade Cultural observar as obrigações descritas na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legislação de regência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e, ainda, as seguintes responsabilidades:</w:t>
            </w:r>
          </w:p>
          <w:p w:rsidR="00000000" w:rsidDel="00000000" w:rsidP="00000000" w:rsidRDefault="00000000" w:rsidRPr="00000000" w14:paraId="00000073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I - executar o projeto conforme Plano de Trabalho aprovado e produzir provas documentais sobre o andamento da execução do projeto, inclusive das alterações no Plano de Trabalho;</w:t>
            </w:r>
          </w:p>
          <w:p w:rsidR="00000000" w:rsidDel="00000000" w:rsidP="00000000" w:rsidRDefault="00000000" w:rsidRPr="00000000" w14:paraId="00000074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II - cumprir com os procedimentos de transparência e publicidade atribuídos à entidade cultural conforme o disposto no Capítulo IV,  Seção III da IN MinC nº 08 de 11 de maio de 2016;</w:t>
            </w:r>
          </w:p>
          <w:p w:rsidR="00000000" w:rsidDel="00000000" w:rsidP="00000000" w:rsidRDefault="00000000" w:rsidRPr="00000000" w14:paraId="00000075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III - divulgar, em destaque, o nome do Ministério da Cultura/Governo Federal e do ENTE PÚBLICO parceiro em todos os atos de promoção e divulgação do projeto, obedecendo aos critérios de veiculação das logomarcas estabelecidas, que serão disponibilizadas pela SCDC/MinC e pelo ENTE PÚBLICO parceiro, observadas as restrições vigentes em ano eleitoral, quando for o caso;</w:t>
            </w:r>
          </w:p>
          <w:p w:rsidR="00000000" w:rsidDel="00000000" w:rsidP="00000000" w:rsidRDefault="00000000" w:rsidRPr="00000000" w14:paraId="00000076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IV - desenvolver uma gestão compartilhada e participativa, por meio de instâncias, fóruns e espaços de diálogos junto aos beneficiários em sua área de abrangência;</w:t>
            </w:r>
          </w:p>
          <w:p w:rsidR="00000000" w:rsidDel="00000000" w:rsidP="00000000" w:rsidRDefault="00000000" w:rsidRPr="00000000" w14:paraId="00000077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V - envidar esforços visando atuar nos processos participativos instituídos pelo Sistema Nacional de Cultura-SNC (especialmente as Conferências de Cultura) e pela PNCV (especialmente as TEIAs) em âmbito local, regional e nacional;</w:t>
            </w:r>
          </w:p>
          <w:p w:rsidR="00000000" w:rsidDel="00000000" w:rsidP="00000000" w:rsidRDefault="00000000" w:rsidRPr="00000000" w14:paraId="00000078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VI - estimular a participação ativa dos beneficiários da PNCV nos processos participativos instituídos no SNC e na PNCV em âmbito local, regional e nacional;</w:t>
            </w:r>
          </w:p>
          <w:p w:rsidR="00000000" w:rsidDel="00000000" w:rsidP="00000000" w:rsidRDefault="00000000" w:rsidRPr="00000000" w14:paraId="00000079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VII - contribuir com a organização e funcionamento da Rede Cultura Viva e de suas instâncias, mecanismos e processos de gestão compartilhada, participação e controle social;</w:t>
            </w:r>
          </w:p>
          <w:p w:rsidR="00000000" w:rsidDel="00000000" w:rsidP="00000000" w:rsidRDefault="00000000" w:rsidRPr="00000000" w14:paraId="0000007A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VIII - manter seus dados cadastrais atualizados no Cadastro Nacional de Pontos e Pontões de Cultura, atendendo à chamada anual de atualização de dados;</w:t>
            </w:r>
          </w:p>
          <w:p w:rsidR="00000000" w:rsidDel="00000000" w:rsidP="00000000" w:rsidRDefault="00000000" w:rsidRPr="00000000" w14:paraId="0000007B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IX - dar transparência aos valores pagos a título de remuneração de sua equipe de trabalho vinculada à execução do TCC, em sua sede e no seu sítio eletrônico, sendo vedado o pagamento, a qualquer título, a servidor ou empregado público, salvo nas hipóteses previstas em lei específica ou na Lei de Diretrizes Orçamentárias, a empresas privadas que tenham em seu quadro societário servidor público da ativa, ou a empregado de empresa pública, ou de sociedade de economia mista, por serviços prestados, inclusive consultoria, assistência técnica ou assemelhados;</w:t>
            </w:r>
          </w:p>
          <w:p w:rsidR="00000000" w:rsidDel="00000000" w:rsidP="00000000" w:rsidRDefault="00000000" w:rsidRPr="00000000" w14:paraId="0000007C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X - permitir livre acesso dos servidores dos órgãos ou das entidades públicas repassadoras dos recursos, do controle interno e do tribunal de contas correspondentes aos processos, aos documentos, às informações referentes aos instrumentos de transferências regulamentados pela Instrução Normativa/MinC nº 8/2016, bem como aos locais de execução do objeto;</w:t>
            </w:r>
          </w:p>
          <w:p w:rsidR="00000000" w:rsidDel="00000000" w:rsidP="00000000" w:rsidRDefault="00000000" w:rsidRPr="00000000" w14:paraId="0000007D">
            <w:pPr>
              <w:spacing w:after="120" w:before="120" w:line="240" w:lineRule="auto"/>
              <w:ind w:lef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XI - a responsabilidade exclusiva pelo gerenciamento administrativo e financeiro dos recursos recebidos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; </w:t>
            </w:r>
          </w:p>
          <w:p w:rsidR="00000000" w:rsidDel="00000000" w:rsidP="00000000" w:rsidRDefault="00000000" w:rsidRPr="00000000" w14:paraId="0000007E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XII - pagar os encargos trabalhistas, previdenciários, fiscais e comerciais relativos ao funcionamento da instituição e ao adimplemento do TCC, não se caracterizando responsabilidade solidária ou subsidiária da administração pública concedente pelos respectivos pagamentos ou qualquer oneração do objeto da parceria ou restrição à sua execução;</w:t>
            </w:r>
          </w:p>
          <w:p w:rsidR="00000000" w:rsidDel="00000000" w:rsidP="00000000" w:rsidRDefault="00000000" w:rsidRPr="00000000" w14:paraId="0000007F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XIII - prestar contas dos recursos recebidos, conforme acordado neste Termo e  na forma dos atos normativos que se relacionam com o tema;</w:t>
            </w:r>
          </w:p>
          <w:p w:rsidR="00000000" w:rsidDel="00000000" w:rsidP="00000000" w:rsidRDefault="00000000" w:rsidRPr="00000000" w14:paraId="00000080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XIV - guardar os documentos originais de comprovação do cumprimento do objeto pelo prazo de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cinco 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anos após a entrega da prestação de contas, estando ciente de que a documentação de comprovação fiscal em princípio não será exigida, mas deve ser obtida e guardada pela entidade cultural pelo mesmo prazo, e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inclusive pode ser solicitada para fins de demonstração de cumprimento de obrigações perante outras autoridades estatais, tais como os órgãos de fiscalização tributária, previdenciária e trabalhista, órgãos de controle interno e externo do Governo Estadual ou Federal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; e</w:t>
            </w:r>
          </w:p>
          <w:p w:rsidR="00000000" w:rsidDel="00000000" w:rsidP="00000000" w:rsidRDefault="00000000" w:rsidRPr="00000000" w14:paraId="00000081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XV - 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adquirir e manter em bom estado equipamentos multimídia, direcionados à cultura digital, que contribuam com o objeto pactuado, salvo quando a Entidade declare que já possui equipamento em adequadas condições de manutenção e funcionamento, comprometendo-se a disponibilizá-lo para uso na execução da parceria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2">
      <w:pPr>
        <w:ind w:left="0" w:hanging="2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972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9972"/>
        <w:tblGridChange w:id="0">
          <w:tblGrid>
            <w:gridCol w:w="9972"/>
          </w:tblGrid>
        </w:tblGridChange>
      </w:tblGrid>
      <w:tr>
        <w:trPr>
          <w:cantSplit w:val="0"/>
          <w:trHeight w:val="52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shd w:fill="d9d9d9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5.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DOS VALORES</w:t>
            </w:r>
          </w:p>
        </w:tc>
      </w:tr>
      <w:tr>
        <w:trPr>
          <w:cantSplit w:val="0"/>
          <w:trHeight w:val="13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Para execução das atividades previstas no Plano de Trabalho deste TCC, serão disponibilizados pelo Ente Público recursos no valor total de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R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$ 60.000,00 (sessenta mil reais)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em parcela única, de acordo com o Cronograma de Desembolso constante do Plano de Trabalho, correspondente à Nota de Empenho XXXX, de XX/XX/202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4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.</w:t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shd w:fill="d9d9d9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5.1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 movimentação dos recursos financeiros</w:t>
            </w:r>
          </w:p>
        </w:tc>
      </w:tr>
      <w:tr>
        <w:trPr>
          <w:cantSplit w:val="0"/>
          <w:trHeight w:val="226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Os recursos referentes ao presente Termo de Compromisso Cultural, a serem desembolsados pelo Ente Público, serão depositados e geridos em conta específica de instituição financeira indicada pela entidade cultural, na 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Agência XXXX – Banco XXXX, na cidade XXXX, UF XX, em conformidade com os prazos estabelecidos no Cronograma Financeiro constante do Plano de Trabalho.</w:t>
            </w:r>
          </w:p>
          <w:p w:rsidR="00000000" w:rsidDel="00000000" w:rsidP="00000000" w:rsidRDefault="00000000" w:rsidRPr="00000000" w14:paraId="00000087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5.1.1 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Os recursos depositados nesta conta bancária específica, enquanto não empregados na sua finalidade, serão obrigatoriamente aplicados:</w:t>
            </w:r>
          </w:p>
          <w:p w:rsidR="00000000" w:rsidDel="00000000" w:rsidP="00000000" w:rsidRDefault="00000000" w:rsidRPr="00000000" w14:paraId="00000088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I - em caderneta de poupança, ou</w:t>
            </w:r>
          </w:p>
          <w:p w:rsidR="00000000" w:rsidDel="00000000" w:rsidP="00000000" w:rsidRDefault="00000000" w:rsidRPr="00000000" w14:paraId="00000089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II - em fundo de aplicação financeira de curto prazo ou operação de mercado aberto lastreada em título da dívida pública.</w:t>
            </w:r>
          </w:p>
          <w:p w:rsidR="00000000" w:rsidDel="00000000" w:rsidP="00000000" w:rsidRDefault="00000000" w:rsidRPr="00000000" w14:paraId="0000008A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5.1.2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Os recursos dest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e Termo de Compromisso Cultural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serão utilizados exclusivamente para o pagamento das despesas previstas no objeto do TCC, vedada a sua aplicação em finalidade diversa, ainda que decorrentes de necessidade emergencial do 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PONT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O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DE CULTURA.</w:t>
            </w:r>
          </w:p>
          <w:p w:rsidR="00000000" w:rsidDel="00000000" w:rsidP="00000000" w:rsidRDefault="00000000" w:rsidRPr="00000000" w14:paraId="0000008B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5.1.3 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Os rendimentos de aplicações financeiras poderão ser aplicados para manter o poder de compra dos recursos da parceria, bem como para ampliação ou criação de metas, durante a vigência do TCC, desde que contribuam para a execução do objeto, ou para incremento deste.</w:t>
            </w:r>
          </w:p>
          <w:p w:rsidR="00000000" w:rsidDel="00000000" w:rsidP="00000000" w:rsidRDefault="00000000" w:rsidRPr="00000000" w14:paraId="0000008C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5.1.4 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O uso de rendimentos para as finalidades descritas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no item 5.1.3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poderá ser realizado sem autorização prévia da administração pública, desde que seja descrito no Relatório de Execução do Objeto, com motivação.</w:t>
            </w:r>
          </w:p>
          <w:p w:rsidR="00000000" w:rsidDel="00000000" w:rsidP="00000000" w:rsidRDefault="00000000" w:rsidRPr="00000000" w14:paraId="0000008D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5.1.5 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O remanejamento de recurso no plano de trabalho poderá ocorrer desde que:</w:t>
            </w:r>
          </w:p>
          <w:p w:rsidR="00000000" w:rsidDel="00000000" w:rsidP="00000000" w:rsidRDefault="00000000" w:rsidRPr="00000000" w14:paraId="0000008E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I - seja realizado durante a vigência d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o TCC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;</w:t>
            </w:r>
          </w:p>
          <w:p w:rsidR="00000000" w:rsidDel="00000000" w:rsidP="00000000" w:rsidRDefault="00000000" w:rsidRPr="00000000" w14:paraId="0000008F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II - tenha como finalidade o cumprimento do objeto pactuado;</w:t>
            </w:r>
          </w:p>
          <w:p w:rsidR="00000000" w:rsidDel="00000000" w:rsidP="00000000" w:rsidRDefault="00000000" w:rsidRPr="00000000" w14:paraId="00000090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III - não altere o valor global do orçamento aprovado no TCC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5.1.6 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Após a conclusão, rescisão ou extinção d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este TCC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, os saldos financeiros remanescentes, inclusive os provenientes das receitas obtidas das aplicações financeiras realizadas, deverão ser devolvidos pelo PONT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O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DE CULTURA ao Ente Público, no prazo de trinta dias.</w:t>
            </w:r>
          </w:p>
        </w:tc>
      </w:tr>
    </w:tbl>
    <w:p w:rsidR="00000000" w:rsidDel="00000000" w:rsidP="00000000" w:rsidRDefault="00000000" w:rsidRPr="00000000" w14:paraId="00000092">
      <w:pPr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ind w:left="0" w:hanging="2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972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9972"/>
        <w:tblGridChange w:id="0">
          <w:tblGrid>
            <w:gridCol w:w="9972"/>
          </w:tblGrid>
        </w:tblGridChange>
      </w:tblGrid>
      <w:tr>
        <w:trPr>
          <w:cantSplit w:val="0"/>
          <w:trHeight w:val="52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shd w:fill="d9d9d9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6.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 ACOMPANHAMENTO E AVALIAÇÃO</w:t>
            </w:r>
          </w:p>
        </w:tc>
      </w:tr>
      <w:tr>
        <w:trPr>
          <w:cantSplit w:val="0"/>
          <w:trHeight w:val="226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95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6.1. A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Secretaria Municipal de Cultura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realizará o acompanhamento e a avaliação da execução</w:t>
            </w:r>
            <w:r w:rsidDel="00000000" w:rsidR="00000000" w:rsidRPr="00000000">
              <w:rPr>
                <w:rFonts w:ascii="Calibri" w:cs="Calibri" w:eastAsia="Calibri" w:hAnsi="Calibri"/>
                <w:i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deste TCC, periodicamente, durante a vigência da parceria, com vistas a promover o levantamento de dados para subsidiar a avaliação da prestação de contas podendo, para tanto:</w:t>
            </w:r>
          </w:p>
          <w:p w:rsidR="00000000" w:rsidDel="00000000" w:rsidP="00000000" w:rsidRDefault="00000000" w:rsidRPr="00000000" w14:paraId="00000096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I -  exigir informações técnicas (incluindo relatório fotográfico), prestações de contas parciais e/ou final a qualquer momento;</w:t>
            </w:r>
          </w:p>
          <w:p w:rsidR="00000000" w:rsidDel="00000000" w:rsidP="00000000" w:rsidRDefault="00000000" w:rsidRPr="00000000" w14:paraId="00000097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II - exigir o registro, nos sistemas institucionais indicados pelo Ministério da Cultura, das atividades provenientes da execução do TCC;</w:t>
            </w:r>
          </w:p>
          <w:p w:rsidR="00000000" w:rsidDel="00000000" w:rsidP="00000000" w:rsidRDefault="00000000" w:rsidRPr="00000000" w14:paraId="00000098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III - usar os diversos canais eletrônicos de comunicação e divulgação absorvendo informações sobre a execução do TCC e adotando providências necessárias, quando for o caso;</w:t>
            </w:r>
          </w:p>
          <w:p w:rsidR="00000000" w:rsidDel="00000000" w:rsidP="00000000" w:rsidRDefault="00000000" w:rsidRPr="00000000" w14:paraId="00000099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IV - fazer vistoria in loco (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vistoria no local)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;</w:t>
            </w:r>
          </w:p>
          <w:p w:rsidR="00000000" w:rsidDel="00000000" w:rsidP="00000000" w:rsidRDefault="00000000" w:rsidRPr="00000000" w14:paraId="0000009A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V - utilizar apoio técnico de terceiros, delegar competência ou firmar parcerias com órgãos ou entidades.</w:t>
            </w:r>
          </w:p>
          <w:p w:rsidR="00000000" w:rsidDel="00000000" w:rsidP="00000000" w:rsidRDefault="00000000" w:rsidRPr="00000000" w14:paraId="0000009B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6.2 A</w:t>
            </w:r>
            <w:r w:rsidDel="00000000" w:rsidR="00000000" w:rsidRPr="00000000">
              <w:rPr>
                <w:rFonts w:ascii="Calibri" w:cs="Calibri" w:eastAsia="Calibri" w:hAnsi="Calibri"/>
                <w:color w:val="ff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Secretaria Municipal de Cultura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produzirá registros sobre suas atividades de acompanhamento e monitoramento, por meio de certidões, memórias de reunião, relatórios ou outros documentos técnicos, podendo propor à entidade cultural a reorientação das ações ou a realização de ajustes para aprimorar a execução do objeto da parceria.</w:t>
            </w:r>
          </w:p>
          <w:p w:rsidR="00000000" w:rsidDel="00000000" w:rsidP="00000000" w:rsidRDefault="00000000" w:rsidRPr="00000000" w14:paraId="0000009C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6.3 Os TCCs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estarão também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sujeitos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aos mecanismos de controle social previstos na legislação e ao acompanhamento por comissões e conselhos de políticas públicas da área cultural.</w:t>
            </w:r>
          </w:p>
        </w:tc>
      </w:tr>
    </w:tbl>
    <w:p w:rsidR="00000000" w:rsidDel="00000000" w:rsidP="00000000" w:rsidRDefault="00000000" w:rsidRPr="00000000" w14:paraId="0000009D">
      <w:pPr>
        <w:ind w:left="0" w:hanging="2"/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972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9972"/>
        <w:tblGridChange w:id="0">
          <w:tblGrid>
            <w:gridCol w:w="9972"/>
          </w:tblGrid>
        </w:tblGridChange>
      </w:tblGrid>
      <w:tr>
        <w:trPr>
          <w:cantSplit w:val="0"/>
          <w:trHeight w:val="52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shd w:fill="d9d9d9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7.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 PRESTAÇÃO DE CONTAS</w:t>
            </w:r>
          </w:p>
        </w:tc>
      </w:tr>
      <w:tr>
        <w:trPr>
          <w:cantSplit w:val="0"/>
          <w:trHeight w:val="226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9F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7.1 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 prestação de contas será apresentada por meio do 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u w:val="single"/>
                <w:rtl w:val="0"/>
              </w:rPr>
              <w:t xml:space="preserve">Relatório de Execução do Objeto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,, no prazo de noventa dias após o fim da vigência do TCC, contendo:</w:t>
            </w:r>
          </w:p>
          <w:p w:rsidR="00000000" w:rsidDel="00000000" w:rsidP="00000000" w:rsidRDefault="00000000" w:rsidRPr="00000000" w14:paraId="000000A0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I - relato das atividades realizadas para o cumprimento do objeto, que deve tratar sobre o alcance dos objetivos, sobre ações eventualmente realizadas para promover a acessibilidade e os desdobramentos do projeto, tendo por referência as informações constantes no plano de trabalho;</w:t>
            </w:r>
          </w:p>
          <w:p w:rsidR="00000000" w:rsidDel="00000000" w:rsidP="00000000" w:rsidRDefault="00000000" w:rsidRPr="00000000" w14:paraId="000000A1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II - comparativo de metas propostas com os resultados alcançados, a partir das informações constantes do plano de trabalho, podendo a comprovação sobre os produtos e serviços relativos às metas se dar pela apresentação de fotos, listas de presença, vídeos, entre outros;</w:t>
            </w:r>
          </w:p>
          <w:p w:rsidR="00000000" w:rsidDel="00000000" w:rsidP="00000000" w:rsidRDefault="00000000" w:rsidRPr="00000000" w14:paraId="000000A2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III - material que comprove a execução de cada item de despesa e a consecução de cada uma das metas (fotos, listas de presença, vídeos, entre outros) descrito no Plano de Trabalho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7.2 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Os documentos originais de comprovação do cumprimento do objeto deverão ser guardados pelo PONT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O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DE CULTURA pelo prazo de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cinco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anos após a entrega da prestação de contas.</w:t>
            </w:r>
          </w:p>
          <w:p w:rsidR="00000000" w:rsidDel="00000000" w:rsidP="00000000" w:rsidRDefault="00000000" w:rsidRPr="00000000" w14:paraId="000000A4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7.3 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O prazo de apresentação do Relatório de Execução do Objeto poderá ser prorrogado por até trinta dias, mediante solicitação fundamentada do PONT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O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DE CULTURA.</w:t>
            </w:r>
          </w:p>
          <w:p w:rsidR="00000000" w:rsidDel="00000000" w:rsidP="00000000" w:rsidRDefault="00000000" w:rsidRPr="00000000" w14:paraId="000000A5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7.4 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Caso o Ente Público verifique que houve inadequação na execução do objeto, o PONT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O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DE CULTURA será notificado para apresentar Relatório de Execução Financeiro, no prazo de trinta dias, contendo:</w:t>
            </w:r>
          </w:p>
          <w:p w:rsidR="00000000" w:rsidDel="00000000" w:rsidP="00000000" w:rsidRDefault="00000000" w:rsidRPr="00000000" w14:paraId="000000A6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I- - relação de pagamentos, com indicação dos beneficiários desses pagamentos e identificação do item de despesa e meta relacionados a cada pagamento;</w:t>
            </w:r>
          </w:p>
          <w:p w:rsidR="00000000" w:rsidDel="00000000" w:rsidP="00000000" w:rsidRDefault="00000000" w:rsidRPr="00000000" w14:paraId="000000A7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II - extrato bancário da conta do TCC, incluindo toda a movimentação desde a abertura até a última movimentação, e conciliação bancária; e</w:t>
            </w:r>
          </w:p>
          <w:p w:rsidR="00000000" w:rsidDel="00000000" w:rsidP="00000000" w:rsidRDefault="00000000" w:rsidRPr="00000000" w14:paraId="000000A8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III - comprovante de recolhimento do saldo remanescente de recursos, quando houver.</w:t>
            </w:r>
          </w:p>
          <w:p w:rsidR="00000000" w:rsidDel="00000000" w:rsidP="00000000" w:rsidRDefault="00000000" w:rsidRPr="00000000" w14:paraId="000000A9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7.5 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O Ente Público considerará que houve inadequação na execução do objeto quando configurada uma das seguintes hipóteses:</w:t>
            </w:r>
          </w:p>
          <w:p w:rsidR="00000000" w:rsidDel="00000000" w:rsidP="00000000" w:rsidRDefault="00000000" w:rsidRPr="00000000" w14:paraId="000000AA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I- - quando for identificado o descumprimento injustificado do alcance das metas; ou</w:t>
            </w:r>
          </w:p>
          <w:p w:rsidR="00000000" w:rsidDel="00000000" w:rsidP="00000000" w:rsidRDefault="00000000" w:rsidRPr="00000000" w14:paraId="000000AB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II - quando for aceita denúncia de irregularidade, mediante juízo de admissibilidade realizado pelo Ente Público.</w:t>
            </w:r>
          </w:p>
        </w:tc>
      </w:tr>
    </w:tbl>
    <w:p w:rsidR="00000000" w:rsidDel="00000000" w:rsidP="00000000" w:rsidRDefault="00000000" w:rsidRPr="00000000" w14:paraId="000000AC">
      <w:pPr>
        <w:ind w:left="0" w:hanging="2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972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9972"/>
        <w:tblGridChange w:id="0">
          <w:tblGrid>
            <w:gridCol w:w="9972"/>
          </w:tblGrid>
        </w:tblGridChange>
      </w:tblGrid>
      <w:tr>
        <w:trPr>
          <w:cantSplit w:val="0"/>
          <w:trHeight w:val="52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shd w:fill="d9d9d9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8.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DOS BENS REMANESCENTES</w:t>
            </w:r>
          </w:p>
        </w:tc>
      </w:tr>
      <w:tr>
        <w:trPr>
          <w:cantSplit w:val="0"/>
          <w:trHeight w:val="226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AE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8.1 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Os bens patrimoniais adquiridos, produzidos, transformados ou construídos com recursos deste TCC são da titularidade da Entidade Cultural celebrante e ficarão afetados ao objeto do presente TCC durante o prazo de sua duração, sendo considerados bens remanescentes ao seu término, dispensada a celebração de instrumento específico para esta finalidade.</w:t>
            </w:r>
          </w:p>
          <w:p w:rsidR="00000000" w:rsidDel="00000000" w:rsidP="00000000" w:rsidRDefault="00000000" w:rsidRPr="00000000" w14:paraId="000000AF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8.2 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Quando da extinção da parceria, os bens remanescentes permanecerão na propriedade da Entidade Cultural, na medida em que os bens sejam úteis à continuidade da execução de ações de interesse social pela organização.</w:t>
            </w:r>
          </w:p>
          <w:p w:rsidR="00000000" w:rsidDel="00000000" w:rsidP="00000000" w:rsidRDefault="00000000" w:rsidRPr="00000000" w14:paraId="000000B0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8.3 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Caso a prestação de contas final seja rejeitada, a titularidade dos bens remanescentes permanecerá com a Entidade Cultural, observados os seguintes procedimentos:</w:t>
            </w:r>
          </w:p>
          <w:p w:rsidR="00000000" w:rsidDel="00000000" w:rsidP="00000000" w:rsidRDefault="00000000" w:rsidRPr="00000000" w14:paraId="000000B1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I -  não será exigido ressarcimento do valor relativo ao bem adquirido quando a motivação da rejeição não estiver relacionada ao seu uso ou aquisição; ou</w:t>
            </w:r>
          </w:p>
          <w:p w:rsidR="00000000" w:rsidDel="00000000" w:rsidP="00000000" w:rsidRDefault="00000000" w:rsidRPr="00000000" w14:paraId="000000B2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II - o valor pelo qual o bem remanescente foi adquirido deverá ser computado no cálculo do dano ao erário a ser ressarcido, quando a motivação da rejeição estiver relacionada ao seu uso ou aquisição. </w:t>
            </w:r>
          </w:p>
          <w:p w:rsidR="00000000" w:rsidDel="00000000" w:rsidP="00000000" w:rsidRDefault="00000000" w:rsidRPr="00000000" w14:paraId="000000B3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8.4 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Na hipótese de dissolução da Entidade Cultural durante a vigência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do TCC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, o valor pelo qual os bens remanescentes foram adquiridos deverá ser computado no cálculo do valor a ser ressarcido.</w:t>
            </w:r>
          </w:p>
          <w:p w:rsidR="00000000" w:rsidDel="00000000" w:rsidP="00000000" w:rsidRDefault="00000000" w:rsidRPr="00000000" w14:paraId="000000B4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8.5 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 Entidade Cultural poderá realizar doação dos bens remanescentes a terceiros, inclusive beneficiários da política pública objeto da parceria, desde que demonstrada sua utilidade para realização ou continuidade de ações de interesse social.</w:t>
            </w:r>
          </w:p>
          <w:p w:rsidR="00000000" w:rsidDel="00000000" w:rsidP="00000000" w:rsidRDefault="00000000" w:rsidRPr="00000000" w14:paraId="000000B5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8.6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Os bens remanescentes poderão ter sua propriedade revertida para o Ente Público, a critério deste, se ao término da parceria ficar constatado que a Entidade Cultural não terá condições de dar continuidade à execução de ações de interesse social e a transferência da propriedade for necessária para assegurar a continuidade do objeto pactuado, seja por meio da celebração de nova parceria, seja pela execução direta do objeto pela Administração Pública Federal.</w:t>
            </w:r>
          </w:p>
          <w:p w:rsidR="00000000" w:rsidDel="00000000" w:rsidP="00000000" w:rsidRDefault="00000000" w:rsidRPr="00000000" w14:paraId="000000B6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8.7 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 destinação dos bens remanescentes poderá ser alterada por meio da celebração de Termo Aditivo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ao TCC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, após solicitação fundamentada de uma das partes.</w:t>
            </w:r>
          </w:p>
          <w:p w:rsidR="00000000" w:rsidDel="00000000" w:rsidP="00000000" w:rsidRDefault="00000000" w:rsidRPr="00000000" w14:paraId="000000B7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8.8 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No caso de término da execução do TCC antes da manifestação sobre eventual solicitação de uma das partes de alteração da destinação dos bens remanescentes, a custódia dos bens permanecerá sob a responsabilidade da Entidade Cultural até a decisão do pedido.</w:t>
            </w:r>
          </w:p>
        </w:tc>
      </w:tr>
    </w:tbl>
    <w:p w:rsidR="00000000" w:rsidDel="00000000" w:rsidP="00000000" w:rsidRDefault="00000000" w:rsidRPr="00000000" w14:paraId="000000B8">
      <w:pPr>
        <w:ind w:left="0" w:hanging="2"/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972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9972"/>
        <w:tblGridChange w:id="0">
          <w:tblGrid>
            <w:gridCol w:w="9972"/>
          </w:tblGrid>
        </w:tblGridChange>
      </w:tblGrid>
      <w:tr>
        <w:trPr>
          <w:cantSplit w:val="0"/>
          <w:trHeight w:val="52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shd w:fill="d9d9d9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9.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DA PROPRIEDADE INTELECTUAL</w:t>
            </w:r>
          </w:p>
        </w:tc>
      </w:tr>
      <w:tr>
        <w:trPr>
          <w:cantSplit w:val="0"/>
          <w:trHeight w:val="226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BA">
            <w:pPr>
              <w:spacing w:after="120" w:before="120" w:line="240" w:lineRule="auto"/>
              <w:ind w:lef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9.1 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Caso as atividades realizadas pela ENTIDADE CULTURAL com recursos públicos provenientes do Termo de C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ompromisso Cultural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deem origem a bens passíveis de proteção pelo direito de propriedade intelectual, a exemplo de invenções, modelos de utilidade, desenhos industriais, obras intelectuais, cultivares, direitos autorais, programas de computador e outros tipos de criação, a ENTIDADE CULTURAL terá a titularidade da propriedade intelectual e a participação nos ganhos econômicos resultantes da exploração dos respectivos bens, os quais ficarão gravados com cláusula de inalienabilidade durante a vigência d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o Termo de Compromisso Cultural.</w:t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9.2 - A ORGANIZAÇÃO DA SOCIEDADE CIVIL declara, mediante a assinatura deste instrumento, que se responsabiliza integralmente por providenciar desde já, independente de solicitação da ADMINISTRAÇÃO PÚBLICA, todas as autorizações necessárias para que a ADMINISTRAÇÃO PÚBLICA, sem ônus, durante o prazo de proteção dos direitos incidentes, em território nacional e estrangeiro, em caráter não exclusivo, utilize para fins de divulgação da Política Nacional de Cultura Viva, os bens submetidos a regime de propriedade intelectual que eventualmente decorrerem da execução deste TCC, da seguinte forma:</w: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9.2.1 - Quanto aos direitos de que trata a Lei Nacional nº 9.279/1996, pelo uso de produto objeto de patente, processo ou produto obtido diretamente por processo patenteado, desenho industrial, indicação geográfica e marcas;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9.2.2 - Quanto aos direitos de que trata a Lei Nacional nº 9.610/1998, pelas seguintes modalidades:</w:t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 - a reprodução parcial ou integral, para fins de divulgação;</w:t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II - a tradução para qualquer idioma;</w:t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III - a inclusão em fonograma ou produção audiovisual;</w:t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IV - a inclusão em base de dados, o armazenamento em computador, a microfilmagem e as demais formas de arquivamento do gênero.</w:t>
            </w:r>
          </w:p>
          <w:p w:rsidR="00000000" w:rsidDel="00000000" w:rsidP="00000000" w:rsidRDefault="00000000" w:rsidRPr="00000000" w14:paraId="000000C2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9.2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Quando da extinção d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o TCC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, os bens remanescentes passíveis de proteção pelo direito de propriedade intelectual poderão ter sua propriedade revertida para o órgão ou entidade pública federal, a critério da Administração Pública, quando a ENTIDADE CULTURAL não tiver condições de dar continuidade à execução de ações de interesse social e a transferência da propriedade for necessária para assegurar a continuidade do objeto pactuado, seja por meio da celebração de nova parceria, seja pela execução direta do objeto pela Administração Pública.</w:t>
            </w:r>
          </w:p>
        </w:tc>
      </w:tr>
    </w:tbl>
    <w:p w:rsidR="00000000" w:rsidDel="00000000" w:rsidP="00000000" w:rsidRDefault="00000000" w:rsidRPr="00000000" w14:paraId="000000C3">
      <w:pPr>
        <w:ind w:left="0" w:hanging="2"/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972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9972"/>
        <w:tblGridChange w:id="0">
          <w:tblGrid>
            <w:gridCol w:w="9972"/>
          </w:tblGrid>
        </w:tblGridChange>
      </w:tblGrid>
      <w:tr>
        <w:trPr>
          <w:cantSplit w:val="0"/>
          <w:trHeight w:val="52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shd w:fill="d9d9d9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10.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 PRAZO DE VIGÊNCIA</w:t>
            </w:r>
          </w:p>
        </w:tc>
      </w:tr>
      <w:tr>
        <w:trPr>
          <w:cantSplit w:val="0"/>
          <w:trHeight w:val="9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C5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10.1 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O prazo de vigência deste TCC 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será de 12 (doze) meses, contados a partir da data de sua assinatura, podendo ser prorrogado pelo dobro do tempo pactuado, mediante acordo entre as partes, excetuadas as prorrogações de ofício por atraso na liberação dos recursos.</w:t>
            </w:r>
          </w:p>
          <w:p w:rsidR="00000000" w:rsidDel="00000000" w:rsidP="00000000" w:rsidRDefault="00000000" w:rsidRPr="00000000" w14:paraId="000000C6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10.2 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 vigência d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o TCC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poderá ser alterada mediante solicitação da entidade cultural, a ser apresentada à administração pública em, no mínimo, trinta dias antes do término de sua vigência.</w:t>
            </w:r>
          </w:p>
          <w:p w:rsidR="00000000" w:rsidDel="00000000" w:rsidP="00000000" w:rsidRDefault="00000000" w:rsidRPr="00000000" w14:paraId="000000C7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10.3 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 prorrogação de ofício da vigência do instrumento deve ser feita pela administração pública, antes do seu término, quando ela der causa a atraso na liberação dos recursos, limitada ao exato período do atraso verificado.</w:t>
            </w:r>
          </w:p>
        </w:tc>
      </w:tr>
    </w:tbl>
    <w:p w:rsidR="00000000" w:rsidDel="00000000" w:rsidP="00000000" w:rsidRDefault="00000000" w:rsidRPr="00000000" w14:paraId="000000C8">
      <w:pPr>
        <w:ind w:left="0" w:hanging="2"/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972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9972"/>
        <w:tblGridChange w:id="0">
          <w:tblGrid>
            <w:gridCol w:w="9972"/>
          </w:tblGrid>
        </w:tblGridChange>
      </w:tblGrid>
      <w:tr>
        <w:trPr>
          <w:cantSplit w:val="0"/>
          <w:trHeight w:val="52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shd w:fill="d9d9d9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11.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 RESCISÃO</w:t>
            </w:r>
          </w:p>
        </w:tc>
      </w:tr>
      <w:tr>
        <w:trPr>
          <w:cantSplit w:val="0"/>
          <w:trHeight w:val="226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CA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11.1 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É facultado ao Ente Público e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à entidade cultural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rescindirem este TCC, a qualquer tempo, com as respectivas condições, sanções e delimitações claras de responsabilidades, além da estipulação de prazo mínimo de antecedência para a publicidade dessa intenção, que não poderá ser inferior a 60 (sessenta) dias.</w:t>
            </w:r>
          </w:p>
          <w:p w:rsidR="00000000" w:rsidDel="00000000" w:rsidP="00000000" w:rsidRDefault="00000000" w:rsidRPr="00000000" w14:paraId="000000CB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11.2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O Ente Público deverá rescindir este TCC caso seja cancelada a certificação simplificada do Pontão ou Pontão de Cultura, respeitados os atos jurídicos perfeitos, na forma do art. 11 da Instrução Normativa/MinC nº 8/2016.</w:t>
            </w:r>
          </w:p>
          <w:p w:rsidR="00000000" w:rsidDel="00000000" w:rsidP="00000000" w:rsidRDefault="00000000" w:rsidRPr="00000000" w14:paraId="000000CC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11.3 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 Entidade Cultural deverá devolver ao Ente Público os saldos financeiros remanescentes, inclusive os provenientes das receitas obtidas das aplicações financeiras realizadas, no prazo de trinta dias após a conclusão, rescisão ou extinção da parceria, sob pena de adoção de medidas cabíveis para ressarcimento ao erário.</w:t>
            </w:r>
          </w:p>
          <w:p w:rsidR="00000000" w:rsidDel="00000000" w:rsidP="00000000" w:rsidRDefault="00000000" w:rsidRPr="00000000" w14:paraId="000000CD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11.4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Havendo rescisão,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a entidade cultural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fica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obrigada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a prestar contas de tudo que fora executado até a data da rescisão, observado o prazo e regras da Seção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7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.</w:t>
            </w:r>
          </w:p>
        </w:tc>
      </w:tr>
    </w:tbl>
    <w:p w:rsidR="00000000" w:rsidDel="00000000" w:rsidP="00000000" w:rsidRDefault="00000000" w:rsidRPr="00000000" w14:paraId="000000CE">
      <w:pPr>
        <w:ind w:left="0" w:hanging="2"/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972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9972"/>
        <w:tblGridChange w:id="0">
          <w:tblGrid>
            <w:gridCol w:w="9972"/>
          </w:tblGrid>
        </w:tblGridChange>
      </w:tblGrid>
      <w:tr>
        <w:trPr>
          <w:cantSplit w:val="0"/>
          <w:trHeight w:val="52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shd w:fill="d9d9d9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12..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 PUBLICAÇÃO</w:t>
            </w:r>
          </w:p>
        </w:tc>
      </w:tr>
      <w:tr>
        <w:trPr>
          <w:cantSplit w:val="0"/>
          <w:trHeight w:val="85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D0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O Ente Público publicará extrato deste TCC no meio oficial de publicidade da administração pública, após a assinatura, para que se inicie a produção de seus efeitos.</w:t>
            </w:r>
          </w:p>
        </w:tc>
      </w:tr>
    </w:tbl>
    <w:p w:rsidR="00000000" w:rsidDel="00000000" w:rsidP="00000000" w:rsidRDefault="00000000" w:rsidRPr="00000000" w14:paraId="000000D1">
      <w:pPr>
        <w:ind w:left="0" w:hanging="2"/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972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9972"/>
        <w:tblGridChange w:id="0">
          <w:tblGrid>
            <w:gridCol w:w="9972"/>
          </w:tblGrid>
        </w:tblGridChange>
      </w:tblGrid>
      <w:tr>
        <w:trPr>
          <w:cantSplit w:val="0"/>
          <w:trHeight w:val="52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shd w:fill="d9d9d9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13.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 FORO</w:t>
            </w:r>
          </w:p>
        </w:tc>
      </w:tr>
      <w:tr>
        <w:trPr>
          <w:cantSplit w:val="0"/>
          <w:trHeight w:val="85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D3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As partes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comprometem-se a submeter eventuais controvérsias decorrentes do presente ajuste à prévia tentativa de solução administrativa. As controvérsias que não possam ser resolvidas administrativamente serão submetidas ao foro da Justiça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do Município de Limeira/SP.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4">
      <w:pPr>
        <w:ind w:left="0" w:hanging="2"/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972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4812"/>
        <w:gridCol w:w="5160"/>
        <w:tblGridChange w:id="0">
          <w:tblGrid>
            <w:gridCol w:w="4812"/>
            <w:gridCol w:w="5160"/>
          </w:tblGrid>
        </w:tblGridChange>
      </w:tblGrid>
      <w:tr>
        <w:trPr>
          <w:cantSplit w:val="0"/>
          <w:trHeight w:val="525" w:hRule="atLeast"/>
          <w:tblHeader w:val="0"/>
        </w:trPr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shd w:fill="d9d9d9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14.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DATA E ASSINATURAS</w:t>
            </w:r>
          </w:p>
        </w:tc>
      </w:tr>
      <w:tr>
        <w:trPr>
          <w:cantSplit w:val="0"/>
          <w:trHeight w:val="851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D7">
            <w:pPr>
              <w:spacing w:after="120" w:before="12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E, por assim estarem plenamente de acordo,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as partes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obrigam-se ao total cumprimento dos termos do presente instrumento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D9">
            <w:pPr>
              <w:spacing w:after="120" w:before="120" w:line="240" w:lineRule="auto"/>
              <w:ind w:left="0" w:firstLine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</w:t>
            </w:r>
            <w:r w:rsidDel="00000000" w:rsidR="00000000" w:rsidRPr="00000000">
              <w:rPr>
                <w:rFonts w:ascii="Calibri" w:cs="Calibri" w:eastAsia="Calibri" w:hAnsi="Calibri"/>
                <w:i w:val="1"/>
                <w:sz w:val="24"/>
                <w:szCs w:val="24"/>
                <w:rtl w:val="0"/>
              </w:rPr>
              <w:t xml:space="preserve">assinado eletronicamente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DA">
            <w:pPr>
              <w:spacing w:after="120" w:before="120" w:line="240" w:lineRule="auto"/>
              <w:ind w:left="0" w:firstLine="0"/>
              <w:jc w:val="center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NOME</w:t>
            </w:r>
          </w:p>
          <w:p w:rsidR="00000000" w:rsidDel="00000000" w:rsidP="00000000" w:rsidRDefault="00000000" w:rsidRPr="00000000" w14:paraId="000000DB">
            <w:pPr>
              <w:spacing w:after="120" w:before="120" w:line="240" w:lineRule="auto"/>
              <w:ind w:left="0" w:firstLine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CARGO</w:t>
            </w:r>
          </w:p>
          <w:p w:rsidR="00000000" w:rsidDel="00000000" w:rsidP="00000000" w:rsidRDefault="00000000" w:rsidRPr="00000000" w14:paraId="000000DC">
            <w:pPr>
              <w:spacing w:after="120" w:before="120" w:line="240" w:lineRule="auto"/>
              <w:ind w:left="0" w:firstLine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Representante legal da entidade cultural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D">
            <w:pPr>
              <w:spacing w:after="120" w:before="120" w:line="240" w:lineRule="auto"/>
              <w:ind w:left="0" w:firstLine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 (</w:t>
            </w:r>
            <w:r w:rsidDel="00000000" w:rsidR="00000000" w:rsidRPr="00000000">
              <w:rPr>
                <w:rFonts w:ascii="Calibri" w:cs="Calibri" w:eastAsia="Calibri" w:hAnsi="Calibri"/>
                <w:i w:val="1"/>
                <w:sz w:val="24"/>
                <w:szCs w:val="24"/>
                <w:rtl w:val="0"/>
              </w:rPr>
              <w:t xml:space="preserve">assinado eletronicamente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DE">
            <w:pPr>
              <w:spacing w:after="120" w:before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Evandro Leite da Silva</w:t>
            </w:r>
          </w:p>
          <w:p w:rsidR="00000000" w:rsidDel="00000000" w:rsidP="00000000" w:rsidRDefault="00000000" w:rsidRPr="00000000" w14:paraId="000000DF">
            <w:pPr>
              <w:spacing w:after="120" w:before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Secretário Municipal de Cultura</w:t>
            </w:r>
          </w:p>
        </w:tc>
      </w:tr>
    </w:tbl>
    <w:p w:rsidR="00000000" w:rsidDel="00000000" w:rsidP="00000000" w:rsidRDefault="00000000" w:rsidRPr="00000000" w14:paraId="000000E0">
      <w:pPr>
        <w:spacing w:after="120" w:before="120" w:line="240" w:lineRule="auto"/>
        <w:ind w:left="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133" w:top="1984" w:left="1133" w:right="1133" w:header="566" w:footer="56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5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hanging="2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6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hanging="2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7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hanging="2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8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hanging="2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1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hanging="2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2">
    <w:pPr>
      <w:tabs>
        <w:tab w:val="center" w:leader="none" w:pos="4252"/>
        <w:tab w:val="right" w:leader="none" w:pos="8504"/>
      </w:tabs>
      <w:spacing w:after="0" w:line="240" w:lineRule="auto"/>
      <w:ind w:firstLine="0"/>
      <w:rPr>
        <w:rFonts w:ascii="Arial" w:cs="Arial" w:eastAsia="Arial" w:hAnsi="Arial"/>
      </w:rPr>
    </w:pPr>
    <w:bookmarkStart w:colFirst="0" w:colLast="0" w:name="_heading=h.gjdgxs" w:id="0"/>
    <w:bookmarkEnd w:id="0"/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-63499</wp:posOffset>
              </wp:positionH>
              <wp:positionV relativeFrom="paragraph">
                <wp:posOffset>381000</wp:posOffset>
              </wp:positionV>
              <wp:extent cx="5817870" cy="22225"/>
              <wp:effectExtent b="0" l="0" r="0" t="0"/>
              <wp:wrapNone/>
              <wp:docPr id="6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441828" y="3780000"/>
                        <a:ext cx="5808345" cy="0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rgbClr val="002060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-63499</wp:posOffset>
              </wp:positionH>
              <wp:positionV relativeFrom="paragraph">
                <wp:posOffset>381000</wp:posOffset>
              </wp:positionV>
              <wp:extent cx="5817870" cy="22225"/>
              <wp:effectExtent b="0" l="0" r="0" t="0"/>
              <wp:wrapNone/>
              <wp:docPr id="6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17870" cy="222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1516380</wp:posOffset>
          </wp:positionH>
          <wp:positionV relativeFrom="paragraph">
            <wp:posOffset>-185419</wp:posOffset>
          </wp:positionV>
          <wp:extent cx="4154170" cy="519430"/>
          <wp:effectExtent b="0" l="0" r="0" t="0"/>
          <wp:wrapNone/>
          <wp:docPr id="7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69069" l="0" r="0" t="8698"/>
                  <a:stretch>
                    <a:fillRect/>
                  </a:stretch>
                </pic:blipFill>
                <pic:spPr>
                  <a:xfrm>
                    <a:off x="0" y="0"/>
                    <a:ext cx="4154170" cy="51943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897255</wp:posOffset>
          </wp:positionH>
          <wp:positionV relativeFrom="paragraph">
            <wp:posOffset>-252728</wp:posOffset>
          </wp:positionV>
          <wp:extent cx="703629" cy="638175"/>
          <wp:effectExtent b="0" l="0" r="0" t="0"/>
          <wp:wrapSquare wrapText="bothSides" distB="0" distT="0" distL="114300" distR="114300"/>
          <wp:docPr descr="img_logo" id="8" name="image1.png"/>
          <a:graphic>
            <a:graphicData uri="http://schemas.openxmlformats.org/drawingml/2006/picture">
              <pic:pic>
                <pic:nvPicPr>
                  <pic:cNvPr descr="img_logo" id="0" name="image1.png"/>
                  <pic:cNvPicPr preferRelativeResize="0"/>
                </pic:nvPicPr>
                <pic:blipFill>
                  <a:blip r:embed="rId3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03629" cy="63817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E3">
    <w:pPr>
      <w:ind w:left="0" w:hanging="2"/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4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hanging="2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1" w:default="1">
    <w:name w:val="Normal"/>
    <w:uiPriority w:val="0"/>
    <w:qFormat w:val="1"/>
    <w:pPr>
      <w:suppressAutoHyphens w:val="1"/>
      <w:spacing w:after="160" w:line="259" w:lineRule="auto"/>
      <w:ind w:left="-1" w:leftChars="-1" w:hanging="1" w:hangingChars="1"/>
      <w:textAlignment w:val="top"/>
      <w:outlineLvl w:val="0"/>
    </w:pPr>
    <w:rPr>
      <w:rFonts w:ascii="Calibri" w:cs="Calibri" w:eastAsia="Calibri" w:hAnsi="Calibri"/>
      <w:position w:val="-1"/>
      <w:sz w:val="22"/>
      <w:szCs w:val="22"/>
      <w:lang w:eastAsia="en-US" w:val="pt-BR"/>
    </w:rPr>
  </w:style>
  <w:style w:type="paragraph" w:styleId="2">
    <w:name w:val="heading 1"/>
    <w:basedOn w:val="1"/>
    <w:next w:val="1"/>
    <w:uiPriority w:val="9"/>
    <w:qFormat w:val="1"/>
    <w:pPr>
      <w:keepNext w:val="1"/>
      <w:keepLines w:val="1"/>
      <w:spacing w:after="120" w:before="480"/>
    </w:pPr>
    <w:rPr>
      <w:b w:val="1"/>
      <w:sz w:val="48"/>
      <w:szCs w:val="48"/>
    </w:rPr>
  </w:style>
  <w:style w:type="paragraph" w:styleId="3">
    <w:name w:val="heading 2"/>
    <w:basedOn w:val="1"/>
    <w:next w:val="1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4">
    <w:name w:val="heading 3"/>
    <w:basedOn w:val="1"/>
    <w:next w:val="1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5">
    <w:name w:val="heading 4"/>
    <w:basedOn w:val="1"/>
    <w:next w:val="1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6">
    <w:name w:val="heading 5"/>
    <w:basedOn w:val="1"/>
    <w:next w:val="1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7">
    <w:name w:val="heading 6"/>
    <w:basedOn w:val="1"/>
    <w:next w:val="1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8" w:default="1">
    <w:name w:val="Default Paragraph Font"/>
    <w:uiPriority w:val="1"/>
    <w:semiHidden w:val="1"/>
    <w:unhideWhenUsed w:val="1"/>
  </w:style>
  <w:style w:type="table" w:styleId="9" w:default="1">
    <w:name w:val="Normal Table"/>
    <w:uiPriority w:val="99"/>
    <w:semiHidden w:val="1"/>
    <w:unhideWhenUsed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character" w:styleId="10">
    <w:name w:val="annotation reference"/>
    <w:uiPriority w:val="0"/>
    <w:qFormat w:val="1"/>
    <w:rPr>
      <w:w w:val="100"/>
      <w:position w:val="-1"/>
      <w:sz w:val="16"/>
      <w:szCs w:val="16"/>
      <w:vertAlign w:val="baseline"/>
      <w:cs w:val="0"/>
    </w:rPr>
  </w:style>
  <w:style w:type="paragraph" w:styleId="11">
    <w:name w:val="annotation text"/>
    <w:basedOn w:val="1"/>
    <w:uiPriority w:val="0"/>
    <w:qFormat w:val="1"/>
    <w:rPr>
      <w:sz w:val="20"/>
      <w:szCs w:val="20"/>
    </w:rPr>
  </w:style>
  <w:style w:type="paragraph" w:styleId="12">
    <w:name w:val="Title"/>
    <w:basedOn w:val="1"/>
    <w:next w:val="1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13">
    <w:name w:val="header"/>
    <w:basedOn w:val="1"/>
    <w:link w:val="32"/>
    <w:uiPriority w:val="99"/>
    <w:unhideWhenUsed w:val="1"/>
    <w:qFormat w:val="1"/>
    <w:pPr>
      <w:tabs>
        <w:tab w:val="center" w:pos="4252"/>
        <w:tab w:val="right" w:pos="8504"/>
      </w:tabs>
      <w:spacing w:after="0" w:line="240" w:lineRule="auto"/>
    </w:pPr>
  </w:style>
  <w:style w:type="paragraph" w:styleId="14">
    <w:name w:val="annotation subject"/>
    <w:basedOn w:val="11"/>
    <w:next w:val="11"/>
    <w:uiPriority w:val="0"/>
    <w:qFormat w:val="1"/>
    <w:rPr>
      <w:b w:val="1"/>
      <w:bCs w:val="1"/>
    </w:rPr>
  </w:style>
  <w:style w:type="paragraph" w:styleId="15">
    <w:name w:val="footer"/>
    <w:basedOn w:val="1"/>
    <w:link w:val="33"/>
    <w:uiPriority w:val="99"/>
    <w:unhideWhenUsed w:val="1"/>
    <w:qFormat w:val="1"/>
    <w:pPr>
      <w:tabs>
        <w:tab w:val="center" w:pos="4252"/>
        <w:tab w:val="right" w:pos="8504"/>
      </w:tabs>
      <w:spacing w:after="0" w:line="240" w:lineRule="auto"/>
    </w:pPr>
  </w:style>
  <w:style w:type="paragraph" w:styleId="16">
    <w:name w:val="Balloon Text"/>
    <w:basedOn w:val="1"/>
    <w:uiPriority w:val="0"/>
    <w:qFormat w:val="1"/>
    <w:pPr>
      <w:spacing w:after="0" w:line="240" w:lineRule="auto"/>
    </w:pPr>
    <w:rPr>
      <w:rFonts w:ascii="Segoe UI" w:hAnsi="Segoe UI"/>
      <w:sz w:val="18"/>
      <w:szCs w:val="18"/>
    </w:rPr>
  </w:style>
  <w:style w:type="paragraph" w:styleId="17">
    <w:name w:val="Subtitle"/>
    <w:basedOn w:val="1"/>
    <w:next w:val="1"/>
    <w:uiPriority w:val="0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18" w:customStyle="1">
    <w:name w:val="Table Normal"/>
    <w:uiPriority w:val="0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19" w:customStyle="1">
    <w:name w:val="Table Normal1"/>
    <w:uiPriority w:val="0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20" w:customStyle="1">
    <w:name w:val="Texto de balão Char"/>
    <w:uiPriority w:val="0"/>
    <w:rPr>
      <w:rFonts w:ascii="Segoe UI" w:cs="Segoe UI" w:hAnsi="Segoe UI"/>
      <w:w w:val="100"/>
      <w:position w:val="-1"/>
      <w:sz w:val="18"/>
      <w:szCs w:val="18"/>
      <w:vertAlign w:val="baseline"/>
      <w:cs w:val="0"/>
      <w:lang w:eastAsia="en-US"/>
    </w:rPr>
  </w:style>
  <w:style w:type="paragraph" w:styleId="21">
    <w:name w:val="No Spacing"/>
    <w:uiPriority w:val="0"/>
    <w:pPr>
      <w:suppressAutoHyphens w:val="1"/>
      <w:spacing w:after="160" w:line="1" w:lineRule="atLeast"/>
      <w:ind w:left="-1" w:leftChars="-1" w:hanging="1" w:hangingChars="1"/>
      <w:textAlignment w:val="top"/>
      <w:outlineLvl w:val="0"/>
    </w:pPr>
    <w:rPr>
      <w:rFonts w:ascii="Calibri" w:cs="Calibri" w:eastAsia="Calibri" w:hAnsi="Calibri"/>
      <w:position w:val="-1"/>
      <w:sz w:val="22"/>
      <w:szCs w:val="22"/>
      <w:lang w:eastAsia="en-US" w:val="pt-BR"/>
    </w:rPr>
  </w:style>
  <w:style w:type="character" w:styleId="22" w:customStyle="1">
    <w:name w:val="Texto de comentário Char"/>
    <w:uiPriority w:val="0"/>
    <w:rPr>
      <w:w w:val="100"/>
      <w:position w:val="-1"/>
      <w:vertAlign w:val="baseline"/>
      <w:cs w:val="0"/>
      <w:lang w:eastAsia="en-US"/>
    </w:rPr>
  </w:style>
  <w:style w:type="character" w:styleId="23" w:customStyle="1">
    <w:name w:val="Assunto do comentário Char"/>
    <w:uiPriority w:val="0"/>
    <w:rPr>
      <w:b w:val="1"/>
      <w:bCs w:val="1"/>
      <w:w w:val="100"/>
      <w:position w:val="-1"/>
      <w:vertAlign w:val="baseline"/>
      <w:cs w:val="0"/>
      <w:lang w:eastAsia="en-US"/>
    </w:rPr>
  </w:style>
  <w:style w:type="paragraph" w:styleId="24">
    <w:name w:val="List Paragraph"/>
    <w:basedOn w:val="1"/>
    <w:uiPriority w:val="0"/>
    <w:pPr>
      <w:spacing w:after="0" w:line="240" w:lineRule="auto"/>
      <w:ind w:left="720"/>
      <w:contextualSpacing w:val="1"/>
    </w:pPr>
    <w:rPr>
      <w:rFonts w:ascii="Times New Roman" w:eastAsia="Times New Roman" w:hAnsi="Times New Roman"/>
      <w:sz w:val="20"/>
      <w:szCs w:val="20"/>
      <w:lang w:eastAsia="pt-BR"/>
    </w:rPr>
  </w:style>
  <w:style w:type="paragraph" w:styleId="25" w:customStyle="1">
    <w:name w:val="western"/>
    <w:basedOn w:val="1"/>
    <w:uiPriority w:val="0"/>
    <w:pPr>
      <w:spacing w:after="119" w:before="100" w:before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26" w:customStyle="1">
    <w:name w:val="Revision"/>
    <w:uiPriority w:val="0"/>
    <w:pPr>
      <w:suppressAutoHyphens w:val="1"/>
      <w:spacing w:after="160" w:line="1" w:lineRule="atLeast"/>
      <w:ind w:left="-1" w:leftChars="-1" w:hanging="1" w:hangingChars="1"/>
      <w:textAlignment w:val="top"/>
      <w:outlineLvl w:val="0"/>
    </w:pPr>
    <w:rPr>
      <w:rFonts w:ascii="Calibri" w:cs="Calibri" w:eastAsia="Calibri" w:hAnsi="Calibri"/>
      <w:position w:val="-1"/>
      <w:sz w:val="22"/>
      <w:szCs w:val="22"/>
      <w:lang w:eastAsia="en-US" w:val="pt-BR"/>
    </w:rPr>
  </w:style>
  <w:style w:type="paragraph" w:styleId="27" w:customStyle="1">
    <w:name w:val="Normal1"/>
    <w:uiPriority w:val="0"/>
    <w:pPr>
      <w:spacing w:after="200" w:line="276" w:lineRule="auto"/>
      <w:ind w:left="-1" w:leftChars="-1" w:hanging="1" w:hangingChars="1"/>
      <w:textAlignment w:val="top"/>
      <w:outlineLvl w:val="0"/>
    </w:pPr>
    <w:rPr>
      <w:rFonts w:ascii="Times New Roman" w:cs="Calibri" w:eastAsia="Times New Roman" w:hAnsi="Times New Roman"/>
      <w:position w:val="-1"/>
      <w:sz w:val="22"/>
      <w:szCs w:val="22"/>
      <w:lang w:val="pt-BR"/>
    </w:rPr>
  </w:style>
  <w:style w:type="table" w:styleId="28" w:customStyle="1">
    <w:name w:val="4"/>
    <w:basedOn w:val="19"/>
    <w:uiPriority w:val="0"/>
    <w:tblPr>
      <w:tblCellMar>
        <w:left w:w="108.0" w:type="dxa"/>
        <w:right w:w="108.0" w:type="dxa"/>
      </w:tblCellMar>
    </w:tblPr>
  </w:style>
  <w:style w:type="table" w:styleId="29" w:customStyle="1">
    <w:name w:val="3"/>
    <w:basedOn w:val="19"/>
    <w:uiPriority w:val="0"/>
    <w:tblPr>
      <w:tblCellMar>
        <w:left w:w="108.0" w:type="dxa"/>
        <w:right w:w="108.0" w:type="dxa"/>
      </w:tblCellMar>
    </w:tblPr>
  </w:style>
  <w:style w:type="table" w:styleId="30" w:customStyle="1">
    <w:name w:val="2"/>
    <w:basedOn w:val="19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31" w:customStyle="1">
    <w:name w:val="1"/>
    <w:basedOn w:val="19"/>
    <w:uiPriority w:val="0"/>
    <w:qFormat w:val="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character" w:styleId="32" w:customStyle="1">
    <w:name w:val="Cabeçalho Char"/>
    <w:basedOn w:val="8"/>
    <w:link w:val="13"/>
    <w:uiPriority w:val="99"/>
    <w:qFormat w:val="1"/>
    <w:rPr>
      <w:position w:val="-1"/>
      <w:lang w:eastAsia="en-US"/>
    </w:rPr>
  </w:style>
  <w:style w:type="character" w:styleId="33" w:customStyle="1">
    <w:name w:val="Rodapé Char"/>
    <w:basedOn w:val="8"/>
    <w:link w:val="15"/>
    <w:uiPriority w:val="99"/>
    <w:qFormat w:val="1"/>
    <w:rPr>
      <w:position w:val="-1"/>
      <w:lang w:eastAsia="en-US"/>
    </w:rPr>
  </w:style>
  <w:style w:type="table" w:styleId="34" w:customStyle="1">
    <w:name w:val="_Style 61"/>
    <w:basedOn w:val="18"/>
    <w:uiPriority w:val="0"/>
    <w:qFormat w:val="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35" w:customStyle="1">
    <w:name w:val="_Style 62"/>
    <w:basedOn w:val="18"/>
    <w:uiPriority w:val="0"/>
    <w:qFormat w:val="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36" w:customStyle="1">
    <w:name w:val="_Style 63"/>
    <w:basedOn w:val="18"/>
    <w:uiPriority w:val="0"/>
    <w:qFormat w:val="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37" w:customStyle="1">
    <w:name w:val="_Style 64"/>
    <w:basedOn w:val="18"/>
    <w:uiPriority w:val="0"/>
    <w:qFormat w:val="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38" w:customStyle="1">
    <w:name w:val="_Style 65"/>
    <w:basedOn w:val="18"/>
    <w:uiPriority w:val="0"/>
    <w:qFormat w:val="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39" w:customStyle="1">
    <w:name w:val="_Style 66"/>
    <w:basedOn w:val="18"/>
    <w:uiPriority w:val="0"/>
    <w:qFormat w:val="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40" w:customStyle="1">
    <w:name w:val="_Style 67"/>
    <w:basedOn w:val="18"/>
    <w:uiPriority w:val="0"/>
    <w:qFormat w:val="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41" w:customStyle="1">
    <w:name w:val="_Style 68"/>
    <w:basedOn w:val="18"/>
    <w:uiPriority w:val="0"/>
    <w:qFormat w:val="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42" w:customStyle="1">
    <w:name w:val="_Style 69"/>
    <w:basedOn w:val="18"/>
    <w:uiPriority w:val="0"/>
    <w:qFormat w:val="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43" w:customStyle="1">
    <w:name w:val="_Style 70"/>
    <w:basedOn w:val="18"/>
    <w:uiPriority w:val="0"/>
    <w:qFormat w:val="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44" w:customStyle="1">
    <w:name w:val="_Style 71"/>
    <w:basedOn w:val="18"/>
    <w:uiPriority w:val="0"/>
    <w:qFormat w:val="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45" w:customStyle="1">
    <w:name w:val="_Style 72"/>
    <w:basedOn w:val="18"/>
    <w:uiPriority w:val="0"/>
    <w:qFormat w:val="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46" w:customStyle="1">
    <w:name w:val="_Style 73"/>
    <w:basedOn w:val="18"/>
    <w:uiPriority w:val="0"/>
    <w:qFormat w:val="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47" w:customStyle="1">
    <w:name w:val="_Style 74"/>
    <w:basedOn w:val="18"/>
    <w:uiPriority w:val="0"/>
    <w:qFormat w:val="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48" w:customStyle="1">
    <w:name w:val="_Style 75"/>
    <w:basedOn w:val="18"/>
    <w:uiPriority w:val="0"/>
    <w:qFormat w:val="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49" w:customStyle="1">
    <w:name w:val="_Style 76"/>
    <w:basedOn w:val="18"/>
    <w:uiPriority w:val="0"/>
    <w:qFormat w:val="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50" w:customStyle="1">
    <w:name w:val="_Style 77"/>
    <w:basedOn w:val="18"/>
    <w:uiPriority w:val="0"/>
    <w:qFormat w:val="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51" w:customStyle="1">
    <w:name w:val="_Style 79"/>
    <w:uiPriority w:val="0"/>
    <w:qFormat w:val="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52" w:customStyle="1">
    <w:name w:val="_Style 80"/>
    <w:uiPriority w:val="0"/>
    <w:qFormat w:val="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53" w:customStyle="1">
    <w:name w:val="_Style 81"/>
    <w:uiPriority w:val="0"/>
    <w:qFormat w:val="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54" w:customStyle="1">
    <w:name w:val="_Style 82"/>
    <w:uiPriority w:val="0"/>
    <w:qFormat w:val="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55" w:customStyle="1">
    <w:name w:val="_Style 83"/>
    <w:uiPriority w:val="0"/>
    <w:qFormat w:val="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56" w:customStyle="1">
    <w:name w:val="_Style 84"/>
    <w:uiPriority w:val="0"/>
    <w:qFormat w:val="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57" w:customStyle="1">
    <w:name w:val="_Style 85"/>
    <w:uiPriority w:val="0"/>
    <w:qFormat w:val="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58" w:customStyle="1">
    <w:name w:val="_Style 86"/>
    <w:uiPriority w:val="0"/>
    <w:qFormat w:val="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59" w:customStyle="1">
    <w:name w:val="_Style 87"/>
    <w:uiPriority w:val="0"/>
    <w:qFormat w:val="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60" w:customStyle="1">
    <w:name w:val="_Style 88"/>
    <w:uiPriority w:val="0"/>
    <w:qFormat w:val="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61" w:customStyle="1">
    <w:name w:val="_Style 89"/>
    <w:uiPriority w:val="0"/>
    <w:qFormat w:val="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62" w:customStyle="1">
    <w:name w:val="_Style 90"/>
    <w:uiPriority w:val="0"/>
    <w:qFormat w:val="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63" w:customStyle="1">
    <w:name w:val="_Style 91"/>
    <w:uiPriority w:val="0"/>
    <w:qFormat w:val="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64" w:customStyle="1">
    <w:name w:val="_Style 92"/>
    <w:uiPriority w:val="0"/>
    <w:qFormat w:val="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65" w:customStyle="1">
    <w:name w:val="_Style 94"/>
    <w:uiPriority w:val="0"/>
    <w:qFormat w:val="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66" w:customStyle="1">
    <w:name w:val="_Style 95"/>
    <w:uiPriority w:val="0"/>
    <w:qFormat w:val="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67" w:customStyle="1">
    <w:name w:val="_Style 96"/>
    <w:uiPriority w:val="0"/>
    <w:qFormat w:val="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68" w:customStyle="1">
    <w:name w:val="_Style 97"/>
    <w:uiPriority w:val="0"/>
    <w:qFormat w:val="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69" w:customStyle="1">
    <w:name w:val="_Style 98"/>
    <w:uiPriority w:val="0"/>
    <w:qFormat w:val="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70" w:customStyle="1">
    <w:name w:val="_Style 99"/>
    <w:uiPriority w:val="0"/>
    <w:qFormat w:val="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71" w:customStyle="1">
    <w:name w:val="_Style 100"/>
    <w:uiPriority w:val="0"/>
    <w:qFormat w:val="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72" w:customStyle="1">
    <w:name w:val="_Style 101"/>
    <w:uiPriority w:val="0"/>
    <w:qFormat w:val="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73" w:customStyle="1">
    <w:name w:val="_Style 102"/>
    <w:uiPriority w:val="0"/>
    <w:qFormat w:val="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74" w:customStyle="1">
    <w:name w:val="_Style 103"/>
    <w:uiPriority w:val="0"/>
    <w:qFormat w:val="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75" w:customStyle="1">
    <w:name w:val="_Style 104"/>
    <w:uiPriority w:val="0"/>
    <w:qFormat w:val="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76" w:customStyle="1">
    <w:name w:val="_Style 105"/>
    <w:uiPriority w:val="0"/>
    <w:qFormat w:val="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77" w:customStyle="1">
    <w:name w:val="_Style 106"/>
    <w:uiPriority w:val="0"/>
    <w:qFormat w:val="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78" w:customStyle="1">
    <w:name w:val="_Style 107"/>
    <w:uiPriority w:val="0"/>
    <w:qFormat w:val="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footer" Target="footer2.xml"/><Relationship Id="rId12" Type="http://schemas.openxmlformats.org/officeDocument/2006/relationships/footer" Target="footer3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2.png"/><Relationship Id="rId3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CWJjG9CeNx1zahEb8xE+5XOAYUg==">CgMxLjAyCGguZ2pkZ3hzOAByITF5WURLSGIyc1ZqRk9PY2F4WU1KVnE1c2IxWHVoWG1Peg==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2022-08-11T14:23:00Z</dcterms:created>
  <dc:creator>Daniela Guimaraes Goulart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1046-11.2.0.11191</vt:lpwstr>
  </property>
  <property fmtid="{D5CDD505-2E9C-101B-9397-08002B2CF9AE}" pid="3" name="ICV">
    <vt:lpwstr>27FE3981611A46A9982553C49F12EC77</vt:lpwstr>
  </property>
</Properties>
</file>